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919" w14:textId="54152B7C" w:rsidR="00763841" w:rsidRPr="00977948" w:rsidRDefault="00AD463E" w:rsidP="0076059F">
      <w:pPr>
        <w:spacing w:before="120" w:after="120" w:line="360" w:lineRule="auto"/>
        <w:rPr>
          <w:rFonts w:ascii="Arial" w:hAnsi="Arial" w:cs="Arial"/>
          <w:b/>
        </w:rPr>
      </w:pPr>
      <w:bookmarkStart w:id="0" w:name="_GoBack"/>
      <w:bookmarkEnd w:id="0"/>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249578B9"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00C66AAF">
        <w:rPr>
          <w:b w:val="0"/>
          <w:sz w:val="22"/>
          <w:szCs w:val="22"/>
        </w:rPr>
        <w:t xml:space="preserve">adopted by Woodpeckers Nursery </w:t>
      </w:r>
      <w:r w:rsidRPr="001801B0">
        <w:rPr>
          <w:b w:val="0"/>
          <w:sz w:val="22"/>
          <w:szCs w:val="22"/>
        </w:rPr>
        <w:t xml:space="preserve">on </w:t>
      </w:r>
      <w:r w:rsidR="00C66AAF" w:rsidRPr="0081345A">
        <w:rPr>
          <w:b w:val="0"/>
          <w:i/>
          <w:iCs/>
          <w:sz w:val="22"/>
          <w:szCs w:val="22"/>
        </w:rPr>
        <w:t>1</w:t>
      </w:r>
      <w:r w:rsidR="00C66AAF" w:rsidRPr="0081345A">
        <w:rPr>
          <w:b w:val="0"/>
          <w:i/>
          <w:iCs/>
          <w:sz w:val="22"/>
          <w:szCs w:val="22"/>
          <w:vertAlign w:val="superscript"/>
        </w:rPr>
        <w:t>st</w:t>
      </w:r>
      <w:r w:rsidR="0081345A">
        <w:rPr>
          <w:b w:val="0"/>
          <w:i/>
          <w:iCs/>
          <w:sz w:val="22"/>
          <w:szCs w:val="22"/>
        </w:rPr>
        <w:t xml:space="preserve"> September</w:t>
      </w:r>
      <w:r w:rsidR="00C66AAF" w:rsidRPr="0081345A">
        <w:rPr>
          <w:b w:val="0"/>
          <w:i/>
          <w:iCs/>
          <w:sz w:val="22"/>
          <w:szCs w:val="22"/>
        </w:rPr>
        <w:t xml:space="preserve"> 2023.</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C66AAF" w:rsidRDefault="00763841" w:rsidP="00706CD4">
      <w:pPr>
        <w:pStyle w:val="ListParagraph"/>
        <w:spacing w:before="120" w:after="120" w:line="360" w:lineRule="auto"/>
        <w:ind w:left="0"/>
        <w:contextualSpacing w:val="0"/>
        <w:rPr>
          <w:rFonts w:ascii="Arial" w:hAnsi="Arial" w:cs="Arial"/>
          <w:sz w:val="22"/>
          <w:szCs w:val="22"/>
        </w:rPr>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w:t>
      </w:r>
      <w:r w:rsidRPr="00C66AAF">
        <w:rPr>
          <w:rFonts w:ascii="Arial" w:hAnsi="Arial" w:cs="Arial"/>
          <w:sz w:val="22"/>
          <w:szCs w:val="22"/>
        </w:rPr>
        <w:t>. These tasks and processes include</w:t>
      </w:r>
      <w:r w:rsidR="004254BD" w:rsidRPr="00C66AAF">
        <w:rPr>
          <w:rFonts w:ascii="Arial" w:hAnsi="Arial" w:cs="Arial"/>
          <w:sz w:val="22"/>
          <w:szCs w:val="22"/>
        </w:rPr>
        <w:t xml:space="preserve"> a</w:t>
      </w:r>
      <w:r w:rsidRPr="00C66AAF">
        <w:rPr>
          <w:rFonts w:ascii="Arial" w:hAnsi="Arial" w:cs="Arial"/>
          <w:sz w:val="22"/>
          <w:szCs w:val="22"/>
        </w:rPr>
        <w:t xml:space="preserve">wareness and knowledge of relevant barriers to inclusion for </w:t>
      </w:r>
      <w:r w:rsidR="004254BD" w:rsidRPr="00C66AAF">
        <w:rPr>
          <w:rFonts w:ascii="Arial" w:hAnsi="Arial" w:cs="Arial"/>
          <w:sz w:val="22"/>
          <w:szCs w:val="22"/>
        </w:rPr>
        <w:t>those</w:t>
      </w:r>
      <w:r w:rsidRPr="00C66AAF">
        <w:rPr>
          <w:rFonts w:ascii="Arial" w:hAnsi="Arial" w:cs="Arial"/>
          <w:sz w:val="22"/>
          <w:szCs w:val="22"/>
        </w:rPr>
        <w:t xml:space="preserve"> with a protected characteristic namely</w:t>
      </w:r>
      <w:r w:rsidR="003768C5" w:rsidRPr="00C66AAF">
        <w:rPr>
          <w:rFonts w:ascii="Arial" w:hAnsi="Arial" w:cs="Arial"/>
          <w:sz w:val="22"/>
          <w:szCs w:val="22"/>
        </w:rPr>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w:t>
      </w:r>
      <w:r w:rsidR="006379FD" w:rsidRPr="00C83538">
        <w:rPr>
          <w:rFonts w:ascii="Arial" w:hAnsi="Arial" w:cs="Arial"/>
          <w:sz w:val="22"/>
          <w:szCs w:val="22"/>
        </w:rPr>
        <w:lastRenderedPageBreak/>
        <w:t xml:space="preserve">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w:t>
      </w:r>
      <w:r w:rsidRPr="00D61A70">
        <w:rPr>
          <w:rFonts w:ascii="Arial" w:hAnsi="Arial" w:cs="Arial"/>
          <w:sz w:val="22"/>
          <w:szCs w:val="22"/>
        </w:rPr>
        <w:t xml:space="preserve">atmosphere that genuinely </w:t>
      </w:r>
      <w:r w:rsidR="00F14EFA" w:rsidRPr="00D61A70">
        <w:rPr>
          <w:rFonts w:ascii="Arial" w:hAnsi="Arial" w:cs="Arial"/>
          <w:sz w:val="22"/>
          <w:szCs w:val="22"/>
        </w:rPr>
        <w:t>appreciate</w:t>
      </w:r>
      <w:r w:rsidRPr="00D61A70">
        <w:rPr>
          <w:rFonts w:ascii="Arial" w:hAnsi="Arial" w:cs="Arial"/>
          <w:sz w:val="22"/>
          <w:szCs w:val="22"/>
        </w:rPr>
        <w:t xml:space="preserve"> </w:t>
      </w:r>
      <w:r w:rsidR="00ED3EEC" w:rsidRPr="00D61A70">
        <w:rPr>
          <w:rFonts w:ascii="Arial" w:hAnsi="Arial" w:cs="Arial"/>
          <w:sz w:val="22"/>
          <w:szCs w:val="22"/>
        </w:rPr>
        <w:t>British values,</w:t>
      </w:r>
      <w:r w:rsidR="00ED3EEC" w:rsidRPr="00CD7EE5">
        <w:rPr>
          <w:rFonts w:ascii="Arial" w:hAnsi="Arial" w:cs="Arial"/>
          <w:sz w:val="22"/>
          <w:szCs w:val="22"/>
        </w:rPr>
        <w:t xml:space="preserve">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0C588B10" w:rsidR="00763841" w:rsidRDefault="001C3858" w:rsidP="00706CD4">
      <w:pPr>
        <w:spacing w:before="120" w:after="120" w:line="360" w:lineRule="auto"/>
      </w:pPr>
      <w:hyperlink r:id="rId12"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p>
    <w:sectPr w:rsidR="00763841"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FF15A" w14:textId="77777777" w:rsidR="001C3858" w:rsidRDefault="001C3858" w:rsidP="00E07382">
      <w:r>
        <w:separator/>
      </w:r>
    </w:p>
  </w:endnote>
  <w:endnote w:type="continuationSeparator" w:id="0">
    <w:p w14:paraId="2B8334F8" w14:textId="77777777" w:rsidR="001C3858" w:rsidRDefault="001C3858" w:rsidP="00E07382">
      <w:r>
        <w:continuationSeparator/>
      </w:r>
    </w:p>
  </w:endnote>
  <w:endnote w:type="continuationNotice" w:id="1">
    <w:p w14:paraId="3AC59E0D" w14:textId="77777777" w:rsidR="001C3858" w:rsidRDefault="001C3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2B2E" w14:textId="77777777" w:rsidR="001C3858" w:rsidRDefault="001C3858" w:rsidP="00E07382">
      <w:r>
        <w:separator/>
      </w:r>
    </w:p>
  </w:footnote>
  <w:footnote w:type="continuationSeparator" w:id="0">
    <w:p w14:paraId="5AA1F1C0" w14:textId="77777777" w:rsidR="001C3858" w:rsidRDefault="001C3858" w:rsidP="00E07382">
      <w:r>
        <w:continuationSeparator/>
      </w:r>
    </w:p>
  </w:footnote>
  <w:footnote w:type="continuationNotice" w:id="1">
    <w:p w14:paraId="2EC14517" w14:textId="77777777" w:rsidR="001C3858" w:rsidRDefault="001C38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3858"/>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4C5D"/>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8548C"/>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345A"/>
    <w:rsid w:val="00815BEF"/>
    <w:rsid w:val="00823FF7"/>
    <w:rsid w:val="008245C8"/>
    <w:rsid w:val="008245F5"/>
    <w:rsid w:val="00830F0B"/>
    <w:rsid w:val="00834435"/>
    <w:rsid w:val="008370FE"/>
    <w:rsid w:val="00840646"/>
    <w:rsid w:val="008419B6"/>
    <w:rsid w:val="008516B5"/>
    <w:rsid w:val="00853AF9"/>
    <w:rsid w:val="008556D6"/>
    <w:rsid w:val="0086086B"/>
    <w:rsid w:val="00864042"/>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66AAF"/>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1A70"/>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4DC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C5161592-5267-4959-BB56-28B039E5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997</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Alongside associated procedures in 05.1 Promoting inclusion, equality and divers</vt:lpstr>
    </vt:vector>
  </TitlesOfParts>
  <Company>Hewlett-Packard Company</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Jeff</cp:lastModifiedBy>
  <cp:revision>15</cp:revision>
  <cp:lastPrinted>2023-09-21T09:04:00Z</cp:lastPrinted>
  <dcterms:created xsi:type="dcterms:W3CDTF">2021-07-21T14:01:00Z</dcterms:created>
  <dcterms:modified xsi:type="dcterms:W3CDTF">2023-09-21T09:08:00Z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