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F01E3" w14:textId="5441BAAA"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7CE35A23"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Children with disabilities are supported to take full part in all activities within the setting and the setting makes reasonable adjustments to ensure that this will be the case from the time the child is placed on the waiting list</w:t>
      </w:r>
      <w:r w:rsidR="00FC48B6" w:rsidRPr="00085A01">
        <w:rPr>
          <w:rFonts w:cs="Arial"/>
          <w:szCs w:val="22"/>
        </w:rPr>
        <w:t>.</w:t>
      </w:r>
    </w:p>
    <w:p w14:paraId="5857A406"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waiting list is arranged in birth order and in addition may </w:t>
      </w:r>
      <w:proofErr w:type="gramStart"/>
      <w:r w:rsidRPr="00085A01">
        <w:rPr>
          <w:rFonts w:cs="Arial"/>
          <w:szCs w:val="22"/>
        </w:rPr>
        <w:t>take into account</w:t>
      </w:r>
      <w:proofErr w:type="gramEnd"/>
      <w:r w:rsidRPr="00085A01">
        <w:rPr>
          <w:rFonts w:cs="Arial"/>
          <w:szCs w:val="22"/>
        </w:rPr>
        <w:t xml:space="preserve"> the 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1D92DBDD" w:rsidR="0026056C"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p>
    <w:p w14:paraId="516A43A8" w14:textId="77777777" w:rsidR="001869F9" w:rsidRPr="001869F9" w:rsidRDefault="001869F9" w:rsidP="001869F9">
      <w:pPr>
        <w:pStyle w:val="ListParagraph"/>
        <w:widowControl w:val="0"/>
        <w:spacing w:before="120" w:after="120" w:line="360" w:lineRule="auto"/>
        <w:ind w:left="360"/>
        <w:rPr>
          <w:rFonts w:cs="Arial"/>
          <w:sz w:val="6"/>
          <w:szCs w:val="6"/>
        </w:rPr>
      </w:pPr>
    </w:p>
    <w:p w14:paraId="6718C38E" w14:textId="0B52465F"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Where </w:t>
      </w:r>
      <w:r w:rsidR="001869F9">
        <w:rPr>
          <w:rFonts w:cs="Arial"/>
          <w:szCs w:val="22"/>
        </w:rPr>
        <w:t xml:space="preserve">space is available, we accept </w:t>
      </w:r>
      <w:r w:rsidRPr="00085A01">
        <w:rPr>
          <w:rFonts w:cs="Arial"/>
          <w:szCs w:val="22"/>
        </w:rPr>
        <w:t>emergency admission</w:t>
      </w:r>
      <w:r w:rsidR="001869F9">
        <w:rPr>
          <w:rFonts w:cs="Arial"/>
          <w:szCs w:val="22"/>
        </w:rPr>
        <w:t>s</w:t>
      </w:r>
      <w:r w:rsidRPr="00085A01">
        <w:rPr>
          <w:rFonts w:cs="Arial"/>
          <w:szCs w:val="22"/>
        </w:rPr>
        <w:t>.</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54EF7872" w:rsidR="0026056C" w:rsidRPr="007E6D61" w:rsidRDefault="006013F1"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Section 05</w:t>
      </w:r>
      <w:r w:rsidR="00981114" w:rsidRPr="007E6D61">
        <w:rPr>
          <w:rFonts w:cs="Arial"/>
          <w:szCs w:val="22"/>
        </w:rPr>
        <w:t xml:space="preserve"> Equality procedures</w:t>
      </w:r>
      <w:r w:rsidR="0026056C" w:rsidRPr="007E6D61">
        <w:rPr>
          <w:rFonts w:cs="Arial"/>
          <w:szCs w:val="22"/>
        </w:rPr>
        <w:t xml:space="preserve"> is shared and widely promoted to all</w:t>
      </w:r>
      <w:r w:rsidR="000033EB" w:rsidRPr="007E6D61">
        <w:rPr>
          <w:rFonts w:cs="Arial"/>
          <w:szCs w:val="22"/>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lastRenderedPageBreak/>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28D71854"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r w:rsidR="009235C3" w:rsidRPr="00D86429">
        <w:rPr>
          <w:rFonts w:cs="Arial"/>
          <w:b w:val="0"/>
          <w:bCs w:val="0"/>
          <w:sz w:val="22"/>
          <w:szCs w:val="22"/>
        </w:rPr>
        <w:t>otice</w:t>
      </w:r>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398B39DD"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9235C3" w:rsidRPr="00D86429">
        <w:rPr>
          <w:rFonts w:cs="Arial"/>
          <w:b w:val="0"/>
          <w:bCs w:val="0"/>
          <w:sz w:val="22"/>
          <w:szCs w:val="22"/>
        </w:rPr>
        <w:t>erms</w:t>
      </w:r>
      <w:r w:rsidR="00DE12A0" w:rsidRPr="00D86429">
        <w:rPr>
          <w:rFonts w:cs="Arial"/>
          <w:b w:val="0"/>
          <w:bCs w:val="0"/>
          <w:sz w:val="22"/>
          <w:szCs w:val="22"/>
        </w:rPr>
        <w:t xml:space="preserve"> and </w:t>
      </w:r>
      <w:bookmarkStart w:id="0" w:name="_GoBack"/>
      <w:bookmarkEnd w:id="0"/>
      <w:r w:rsidR="00913050" w:rsidRPr="00D86429">
        <w:rPr>
          <w:rFonts w:cs="Arial"/>
          <w:b w:val="0"/>
          <w:bCs w:val="0"/>
          <w:sz w:val="22"/>
          <w:szCs w:val="22"/>
        </w:rPr>
        <w:t>conditions</w:t>
      </w:r>
      <w:r w:rsidR="00DE12A0" w:rsidRPr="00D86429">
        <w:rPr>
          <w:rFonts w:cs="Arial"/>
          <w:b w:val="0"/>
          <w:bCs w:val="0"/>
          <w:sz w:val="22"/>
          <w:szCs w:val="22"/>
        </w:rPr>
        <w:t xml:space="preserve">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2DD89C39"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24F29432"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w:t>
      </w:r>
      <w:r w:rsidR="001869F9">
        <w:rPr>
          <w:rStyle w:val="Heading1Char"/>
          <w:rFonts w:ascii="Arial" w:eastAsia="Calibri" w:hAnsi="Arial" w:cs="Arial"/>
          <w:b w:val="0"/>
          <w:bCs w:val="0"/>
          <w:sz w:val="22"/>
          <w:szCs w:val="22"/>
          <w:lang w:val="en-GB"/>
        </w:rPr>
        <w:t>owners/acting manager</w:t>
      </w:r>
      <w:r w:rsidRPr="2F5DA4B1">
        <w:rPr>
          <w:rStyle w:val="Heading1Char"/>
          <w:rFonts w:ascii="Arial" w:eastAsia="Calibri" w:hAnsi="Arial" w:cs="Arial"/>
          <w:b w:val="0"/>
          <w:bCs w:val="0"/>
          <w:sz w:val="22"/>
          <w:szCs w:val="22"/>
          <w:lang w:val="en-GB"/>
        </w:rPr>
        <w:t xml:space="preserve">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4A345E08"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w:t>
      </w:r>
      <w:r w:rsidR="001869F9">
        <w:rPr>
          <w:rStyle w:val="Heading1Char"/>
          <w:rFonts w:ascii="Arial" w:eastAsia="Calibri" w:hAnsi="Arial" w:cs="Arial"/>
          <w:b w:val="0"/>
          <w:bCs w:val="0"/>
          <w:sz w:val="22"/>
          <w:szCs w:val="22"/>
          <w:lang w:val="en-GB"/>
        </w:rPr>
        <w:t>owners</w:t>
      </w:r>
      <w:r w:rsidRPr="2F5DA4B1">
        <w:rPr>
          <w:rStyle w:val="Heading1Char"/>
          <w:rFonts w:ascii="Arial" w:eastAsia="Calibri" w:hAnsi="Arial" w:cs="Arial"/>
          <w:b w:val="0"/>
          <w:bCs w:val="0"/>
          <w:sz w:val="22"/>
          <w:szCs w:val="22"/>
          <w:lang w:val="en-GB"/>
        </w:rPr>
        <w:t xml:space="preserve">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698DDED4"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w:t>
      </w:r>
      <w:r w:rsidR="001869F9">
        <w:rPr>
          <w:rStyle w:val="Heading1Char"/>
          <w:rFonts w:ascii="Arial" w:eastAsia="Calibri" w:hAnsi="Arial" w:cs="Arial"/>
          <w:b w:val="0"/>
          <w:sz w:val="22"/>
          <w:szCs w:val="22"/>
        </w:rPr>
        <w:t>owners/acting manager</w:t>
      </w:r>
      <w:r w:rsidRPr="00A2293C">
        <w:rPr>
          <w:rStyle w:val="Heading1Char"/>
          <w:rFonts w:ascii="Arial" w:eastAsia="Calibri" w:hAnsi="Arial" w:cs="Arial"/>
          <w:b w:val="0"/>
          <w:sz w:val="22"/>
          <w:szCs w:val="22"/>
        </w:rPr>
        <w:t xml:space="preserve">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w:t>
      </w:r>
      <w:r w:rsidR="001869F9">
        <w:rPr>
          <w:rStyle w:val="Heading1Char"/>
          <w:rFonts w:ascii="Arial" w:eastAsia="Calibri" w:hAnsi="Arial" w:cs="Arial"/>
          <w:b w:val="0"/>
          <w:sz w:val="22"/>
          <w:szCs w:val="22"/>
        </w:rPr>
        <w:t xml:space="preserve">owner/acting </w:t>
      </w:r>
      <w:r w:rsidRPr="00A2293C">
        <w:rPr>
          <w:rStyle w:val="Heading1Char"/>
          <w:rFonts w:ascii="Arial" w:eastAsia="Calibri" w:hAnsi="Arial" w:cs="Arial"/>
          <w:b w:val="0"/>
          <w:sz w:val="22"/>
          <w:szCs w:val="22"/>
        </w:rPr>
        <w:t xml:space="preserve">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B89E3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001869F9">
        <w:rPr>
          <w:rStyle w:val="Heading1Char"/>
          <w:rFonts w:ascii="Arial" w:eastAsia="Calibri" w:hAnsi="Arial" w:cs="Arial"/>
          <w:b w:val="0"/>
          <w:sz w:val="22"/>
          <w:szCs w:val="22"/>
        </w:rPr>
        <w:t xml:space="preserve">owners/acting </w:t>
      </w:r>
      <w:r w:rsidRPr="00085A01">
        <w:rPr>
          <w:rStyle w:val="Heading1Char"/>
          <w:rFonts w:ascii="Arial" w:eastAsia="Calibri" w:hAnsi="Arial" w:cs="Arial"/>
          <w:b w:val="0"/>
          <w:sz w:val="22"/>
          <w:szCs w:val="22"/>
        </w:rPr>
        <w:t xml:space="preserve">manager to avoid discrimination and negative impact on the child and family. During a preparation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1D636A92"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w:t>
      </w:r>
      <w:r w:rsidR="00913050">
        <w:rPr>
          <w:rStyle w:val="Heading1Char"/>
          <w:rFonts w:ascii="Arial" w:eastAsia="Calibri" w:hAnsi="Arial" w:cs="Arial"/>
          <w:b w:val="0"/>
          <w:bCs w:val="0"/>
          <w:sz w:val="22"/>
          <w:szCs w:val="22"/>
          <w:lang w:val="en-GB"/>
        </w:rPr>
        <w:t xml:space="preserve">a member of the safeguarding team </w:t>
      </w:r>
      <w:r w:rsidRPr="581366B8">
        <w:rPr>
          <w:rStyle w:val="Heading1Char"/>
          <w:rFonts w:ascii="Arial" w:eastAsia="Calibri" w:hAnsi="Arial" w:cs="Arial"/>
          <w:b w:val="0"/>
          <w:bCs w:val="0"/>
          <w:sz w:val="22"/>
          <w:szCs w:val="22"/>
          <w:lang w:val="en-GB"/>
        </w:rPr>
        <w:t>will contact the agency to seek further 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085A01" w:rsidRDefault="00DE12A0" w:rsidP="00085A01">
      <w:pPr>
        <w:spacing w:before="120" w:after="120" w:line="360" w:lineRule="auto"/>
        <w:rPr>
          <w:rFonts w:ascii="Arial" w:hAnsi="Arial" w:cs="Arial"/>
          <w:sz w:val="22"/>
          <w:szCs w:val="22"/>
        </w:rPr>
      </w:pPr>
      <w:r w:rsidRPr="581366B8">
        <w:rPr>
          <w:rFonts w:ascii="Arial" w:hAnsi="Arial" w:cs="Arial"/>
          <w:sz w:val="22"/>
          <w:szCs w:val="22"/>
          <w:lang w:val="en-US"/>
        </w:rPr>
        <w:lastRenderedPageBreak/>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72A3D3EC" w14:textId="7BE108CC" w:rsidR="00DE12A0" w:rsidRDefault="00D56D89" w:rsidP="00085A01">
      <w:pPr>
        <w:pStyle w:val="ListParagraph"/>
        <w:spacing w:before="120" w:after="120" w:line="360" w:lineRule="auto"/>
        <w:ind w:left="0"/>
        <w:contextualSpacing w:val="0"/>
        <w:rPr>
          <w:rFonts w:cs="Arial"/>
          <w:b/>
          <w:bCs/>
          <w:szCs w:val="22"/>
        </w:rPr>
      </w:pPr>
      <w:r w:rsidRPr="00D56D89">
        <w:rPr>
          <w:rFonts w:cs="Arial"/>
          <w:b/>
          <w:bCs/>
          <w:szCs w:val="22"/>
        </w:rPr>
        <w:t>Further guidance</w:t>
      </w:r>
    </w:p>
    <w:p w14:paraId="0FBDF291" w14:textId="7FDE8F0B" w:rsidR="003A3195" w:rsidRDefault="00EB546E" w:rsidP="009946A6">
      <w:pPr>
        <w:spacing w:before="120" w:after="120" w:line="360" w:lineRule="auto"/>
        <w:rPr>
          <w:rFonts w:cs="Arial"/>
          <w:b/>
          <w:sz w:val="22"/>
          <w:szCs w:val="22"/>
        </w:rPr>
      </w:pPr>
      <w:r w:rsidRPr="00FC6761">
        <w:rPr>
          <w:rFonts w:ascii="Arial" w:hAnsi="Arial" w:cs="Arial"/>
          <w:sz w:val="22"/>
          <w:szCs w:val="20"/>
        </w:rPr>
        <w:t xml:space="preserve">Early Years Entitlements: Operational guidance for local authorities and providers (DfE 2018) </w:t>
      </w:r>
      <w:hyperlink r:id="rId13" w:history="1">
        <w:r w:rsidR="00FC6761" w:rsidRPr="00FC6761">
          <w:rPr>
            <w:rStyle w:val="Hyperlink"/>
            <w:rFonts w:ascii="Arial" w:hAnsi="Arial" w:cs="Arial"/>
            <w:sz w:val="22"/>
            <w:szCs w:val="20"/>
          </w:rPr>
          <w:t>https://assets.publishing.service.gov.uk/government/uploads/system/uploads/attachment_data/file/718181/Early_years_entitlements-operational_guidance.pdf</w:t>
        </w:r>
      </w:hyperlink>
    </w:p>
    <w:sectPr w:rsidR="003A3195" w:rsidSect="00456362">
      <w:footerReference w:type="default" r:id="rId14"/>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A0880" w14:textId="77777777" w:rsidR="00590124" w:rsidRDefault="00590124" w:rsidP="003C7A9F">
      <w:r>
        <w:separator/>
      </w:r>
    </w:p>
  </w:endnote>
  <w:endnote w:type="continuationSeparator" w:id="0">
    <w:p w14:paraId="1EF2CD26" w14:textId="77777777" w:rsidR="00590124" w:rsidRDefault="0059012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6906" w14:textId="58DF587B" w:rsidR="00456362" w:rsidRPr="00456362" w:rsidRDefault="001869F9" w:rsidP="00456362">
    <w:pPr>
      <w:pStyle w:val="Footer"/>
      <w:rPr>
        <w:rFonts w:ascii="Arial" w:hAnsi="Arial" w:cs="Arial"/>
        <w:i/>
        <w:iCs/>
        <w:sz w:val="20"/>
        <w:lang w:val="en-GB"/>
      </w:rPr>
    </w:pPr>
    <w:r>
      <w:rPr>
        <w:rFonts w:ascii="Arial" w:hAnsi="Arial" w:cs="Arial"/>
        <w:i/>
        <w:iCs/>
        <w:sz w:val="20"/>
        <w:lang w:val="en-GB"/>
      </w:rPr>
      <w:t xml:space="preserve">Adapted from: </w:t>
    </w:r>
    <w:r w:rsidR="00456362" w:rsidRPr="00456362">
      <w:rPr>
        <w:rFonts w:ascii="Arial" w:hAnsi="Arial" w:cs="Arial"/>
        <w:i/>
        <w:iCs/>
        <w:sz w:val="20"/>
        <w:lang w:val="en-GB"/>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232C2" w14:textId="77777777" w:rsidR="00590124" w:rsidRDefault="00590124" w:rsidP="003C7A9F">
      <w:r>
        <w:separator/>
      </w:r>
    </w:p>
  </w:footnote>
  <w:footnote w:type="continuationSeparator" w:id="0">
    <w:p w14:paraId="520155D3" w14:textId="77777777" w:rsidR="00590124" w:rsidRDefault="00590124"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3BD6"/>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869F9"/>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0124"/>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3050"/>
    <w:rsid w:val="0091582A"/>
    <w:rsid w:val="00916C06"/>
    <w:rsid w:val="00921029"/>
    <w:rsid w:val="00922CBF"/>
    <w:rsid w:val="009235C3"/>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784"/>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2E69"/>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D0D"/>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5E0C"/>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26071E3"/>
    <w:rsid w:val="5268EF28"/>
    <w:rsid w:val="53063913"/>
    <w:rsid w:val="533ED47E"/>
    <w:rsid w:val="538F592C"/>
    <w:rsid w:val="53A17D80"/>
    <w:rsid w:val="53BE8E59"/>
    <w:rsid w:val="54FF79A6"/>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18181/Early_years_entitlements-operational_guidanc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20588F80-DC8D-44CC-919D-8AF10966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User</cp:lastModifiedBy>
  <cp:revision>13</cp:revision>
  <cp:lastPrinted>2025-04-15T15:46:00Z</cp:lastPrinted>
  <dcterms:created xsi:type="dcterms:W3CDTF">2024-01-03T13:15:00Z</dcterms:created>
  <dcterms:modified xsi:type="dcterms:W3CDTF">2026-06-11T10:00:00Z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