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88A5E" w14:textId="649EC45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62650A04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4C6C78">
        <w:rPr>
          <w:b w:val="0"/>
          <w:bCs w:val="0"/>
          <w:i/>
          <w:iCs/>
          <w:sz w:val="22"/>
          <w:szCs w:val="22"/>
        </w:rPr>
        <w:t xml:space="preserve">Woodpeckers Nursery </w:t>
      </w:r>
      <w:r w:rsidRPr="000C1DDA">
        <w:rPr>
          <w:b w:val="0"/>
          <w:bCs w:val="0"/>
          <w:sz w:val="22"/>
          <w:szCs w:val="22"/>
        </w:rPr>
        <w:t xml:space="preserve">on </w:t>
      </w:r>
      <w:r w:rsidR="0028183D">
        <w:rPr>
          <w:b w:val="0"/>
          <w:bCs w:val="0"/>
          <w:iCs/>
          <w:sz w:val="22"/>
          <w:szCs w:val="22"/>
        </w:rPr>
        <w:t>11/06/2026</w:t>
      </w:r>
      <w:bookmarkStart w:id="1" w:name="_GoBack"/>
      <w:bookmarkEnd w:id="1"/>
      <w:r w:rsidR="004C6C78">
        <w:rPr>
          <w:b w:val="0"/>
          <w:bCs w:val="0"/>
          <w:i/>
          <w:iCs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58A6C61F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D57D61">
        <w:rPr>
          <w:rFonts w:ascii="Arial" w:hAnsi="Arial" w:cs="Arial"/>
          <w:sz w:val="22"/>
          <w:szCs w:val="22"/>
        </w:rPr>
        <w:t>Ethnicity data is</w:t>
      </w:r>
      <w:r w:rsidRPr="005B6216">
        <w:rPr>
          <w:rFonts w:ascii="Arial" w:hAnsi="Arial" w:cs="Arial"/>
          <w:sz w:val="22"/>
          <w:szCs w:val="22"/>
        </w:rPr>
        <w:t xml:space="preserve">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1B53FE91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2160BD35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</w:t>
      </w:r>
      <w:r w:rsidR="004B4210">
        <w:rPr>
          <w:rFonts w:ascii="Arial" w:hAnsi="Arial" w:cs="Arial"/>
          <w:sz w:val="22"/>
          <w:szCs w:val="22"/>
        </w:rPr>
        <w:t>3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94CC680" w:rsidR="009D08F3" w:rsidRDefault="0028183D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1" w:history="1"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S</w:t>
        </w:r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A</w:t>
        </w:r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0965BFC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0965BFC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2018</w:t>
      </w:r>
      <w:r w:rsidR="00A858C8"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="00A858C8"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745AC" w14:textId="77777777" w:rsidR="007C249E" w:rsidRDefault="007C249E" w:rsidP="00E07382">
      <w:r>
        <w:separator/>
      </w:r>
    </w:p>
  </w:endnote>
  <w:endnote w:type="continuationSeparator" w:id="0">
    <w:p w14:paraId="25143EE1" w14:textId="77777777" w:rsidR="007C249E" w:rsidRDefault="007C249E" w:rsidP="00E07382">
      <w:r>
        <w:continuationSeparator/>
      </w:r>
    </w:p>
  </w:endnote>
  <w:endnote w:type="continuationNotice" w:id="1">
    <w:p w14:paraId="32449CB6" w14:textId="77777777" w:rsidR="007C249E" w:rsidRDefault="007C2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AAD7B" w14:textId="11784DB0" w:rsidR="00125204" w:rsidRPr="008515F7" w:rsidRDefault="00C34219" w:rsidP="008515F7">
    <w:pPr>
      <w:pStyle w:val="Footer"/>
    </w:pPr>
    <w:r>
      <w:rPr>
        <w:rFonts w:ascii="Arial" w:hAnsi="Arial" w:cs="Arial"/>
        <w:i/>
        <w:iCs/>
        <w:sz w:val="20"/>
        <w:szCs w:val="20"/>
      </w:rPr>
      <w:t xml:space="preserve">Adapted from </w:t>
    </w:r>
    <w:r w:rsidR="008515F7" w:rsidRPr="008515F7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18AB" w14:textId="77777777" w:rsidR="007C249E" w:rsidRDefault="007C249E" w:rsidP="00E07382">
      <w:r>
        <w:separator/>
      </w:r>
    </w:p>
  </w:footnote>
  <w:footnote w:type="continuationSeparator" w:id="0">
    <w:p w14:paraId="33C755C2" w14:textId="77777777" w:rsidR="007C249E" w:rsidRDefault="007C249E" w:rsidP="00E07382">
      <w:r>
        <w:continuationSeparator/>
      </w:r>
    </w:p>
  </w:footnote>
  <w:footnote w:type="continuationNotice" w:id="1">
    <w:p w14:paraId="6FB8216C" w14:textId="77777777" w:rsidR="007C249E" w:rsidRDefault="007C24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1DDA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5FE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183D"/>
    <w:rsid w:val="00287D95"/>
    <w:rsid w:val="00292128"/>
    <w:rsid w:val="002967E4"/>
    <w:rsid w:val="00296B7A"/>
    <w:rsid w:val="002A22C1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C6C78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0DC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0A4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4CA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249E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3B0"/>
    <w:rsid w:val="00C312E5"/>
    <w:rsid w:val="00C34219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57D61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1B5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293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2FD3B41A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documentManagement/types"/>
    <ds:schemaRef ds:uri="http://www.w3.org/XML/1998/namespace"/>
    <ds:schemaRef ds:uri="http://purl.org/dc/dcmitype/"/>
    <ds:schemaRef ds:uri="4c3b80c5-640a-4874-b78c-e0b0a16b43ff"/>
    <ds:schemaRef ds:uri="9ecd9464-01dd-4d64-bd14-78eb53cb503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062801-C36F-403B-9990-53848CDB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User</cp:lastModifiedBy>
  <cp:revision>2</cp:revision>
  <cp:lastPrinted>2025-04-15T15:36:00Z</cp:lastPrinted>
  <dcterms:created xsi:type="dcterms:W3CDTF">2026-06-11T09:50:00Z</dcterms:created>
  <dcterms:modified xsi:type="dcterms:W3CDTF">2026-06-11T09:50:00Z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